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B86" w:rsidRDefault="003A40CC" w:rsidP="004A1987">
      <w:pPr>
        <w:pBdr>
          <w:bottom w:val="single" w:sz="6" w:space="4" w:color="000000"/>
        </w:pBdr>
        <w:shd w:val="clear" w:color="auto" w:fill="FFFFFF"/>
        <w:spacing w:before="144" w:after="72" w:line="240" w:lineRule="auto"/>
        <w:outlineLvl w:val="2"/>
        <w:rPr>
          <w:rFonts w:ascii="Helvetica" w:eastAsia="Times New Roman" w:hAnsi="Helvetica" w:cs="Helvetica"/>
          <w:b/>
          <w:bCs/>
          <w:color w:val="000000"/>
          <w:sz w:val="26"/>
          <w:szCs w:val="26"/>
        </w:rPr>
      </w:pPr>
      <w:r>
        <w:rPr>
          <w:rFonts w:ascii="Helvetica" w:eastAsia="Times New Roman" w:hAnsi="Helvetica" w:cs="Helvetica"/>
          <w:b/>
          <w:bCs/>
          <w:noProof/>
          <w:color w:val="000000"/>
          <w:sz w:val="26"/>
          <w:szCs w:val="26"/>
        </w:rPr>
        <w:pict>
          <v:shapetype id="_x0000_t202" coordsize="21600,21600" o:spt="202" path="m,l,21600r21600,l21600,xe">
            <v:stroke joinstyle="miter"/>
            <v:path gradientshapeok="t" o:connecttype="rect"/>
          </v:shapetype>
          <v:shape id="_x0000_s1028" type="#_x0000_t202" style="position:absolute;margin-left:102pt;margin-top:18.75pt;width:402pt;height:62.25pt;z-index:251658752" fillcolor="white [3212]" strokecolor="white [3212]">
            <v:textbox>
              <w:txbxContent>
                <w:p w:rsidR="00860B86" w:rsidRDefault="00860B86" w:rsidP="00860B86">
                  <w:r>
                    <w:rPr>
                      <w:color w:val="000000"/>
                    </w:rPr>
                    <w:t xml:space="preserve">"Deterrence: States Without the Death Penalty Have Had Consistently Lower Murder     Rates." </w:t>
                  </w:r>
                  <w:r>
                    <w:rPr>
                      <w:i/>
                      <w:iCs/>
                      <w:color w:val="000000"/>
                    </w:rPr>
                    <w:t>Death Penalty Information Center</w:t>
                  </w:r>
                  <w:r>
                    <w:rPr>
                      <w:color w:val="000000"/>
                    </w:rPr>
                    <w:t>. The Death Penalty Information Center, 11 Mar. 2011. Web. 16 Jan. 2012</w:t>
                  </w:r>
                </w:p>
              </w:txbxContent>
            </v:textbox>
          </v:shape>
        </w:pict>
      </w:r>
    </w:p>
    <w:p w:rsidR="00DE5BC6" w:rsidRDefault="00DE5BC6" w:rsidP="004A1987">
      <w:pPr>
        <w:pBdr>
          <w:bottom w:val="single" w:sz="6" w:space="4" w:color="000000"/>
        </w:pBdr>
        <w:shd w:val="clear" w:color="auto" w:fill="FFFFFF"/>
        <w:spacing w:before="144" w:after="72" w:line="240" w:lineRule="auto"/>
        <w:outlineLvl w:val="2"/>
        <w:rPr>
          <w:rFonts w:ascii="Helvetica" w:eastAsia="Times New Roman" w:hAnsi="Helvetica" w:cs="Helvetica"/>
          <w:b/>
          <w:bCs/>
          <w:color w:val="000000"/>
          <w:sz w:val="26"/>
          <w:szCs w:val="26"/>
        </w:rPr>
      </w:pPr>
    </w:p>
    <w:p w:rsidR="00DE5BC6" w:rsidRDefault="00DE5BC6" w:rsidP="004A1987">
      <w:pPr>
        <w:pBdr>
          <w:bottom w:val="single" w:sz="6" w:space="4" w:color="000000"/>
        </w:pBdr>
        <w:shd w:val="clear" w:color="auto" w:fill="FFFFFF"/>
        <w:spacing w:before="144" w:after="72" w:line="240" w:lineRule="auto"/>
        <w:outlineLvl w:val="2"/>
        <w:rPr>
          <w:rFonts w:ascii="Helvetica" w:eastAsia="Times New Roman" w:hAnsi="Helvetica" w:cs="Helvetica"/>
          <w:b/>
          <w:bCs/>
          <w:color w:val="000000"/>
          <w:sz w:val="26"/>
          <w:szCs w:val="26"/>
        </w:rPr>
      </w:pPr>
    </w:p>
    <w:p w:rsidR="00DE5BC6" w:rsidRDefault="00DE5BC6" w:rsidP="004A1987">
      <w:pPr>
        <w:pBdr>
          <w:bottom w:val="single" w:sz="6" w:space="4" w:color="000000"/>
        </w:pBdr>
        <w:shd w:val="clear" w:color="auto" w:fill="FFFFFF"/>
        <w:spacing w:before="144" w:after="72" w:line="240" w:lineRule="auto"/>
        <w:outlineLvl w:val="2"/>
        <w:rPr>
          <w:rFonts w:ascii="Helvetica" w:eastAsia="Times New Roman" w:hAnsi="Helvetica" w:cs="Helvetica"/>
          <w:b/>
          <w:bCs/>
          <w:color w:val="000000"/>
          <w:sz w:val="26"/>
          <w:szCs w:val="26"/>
        </w:rPr>
      </w:pPr>
    </w:p>
    <w:p w:rsidR="004A1987" w:rsidRPr="004A1987" w:rsidRDefault="004A1987" w:rsidP="004A1987">
      <w:pPr>
        <w:pBdr>
          <w:bottom w:val="single" w:sz="6" w:space="4" w:color="000000"/>
        </w:pBdr>
        <w:shd w:val="clear" w:color="auto" w:fill="FFFFFF"/>
        <w:spacing w:before="144" w:after="72" w:line="240" w:lineRule="auto"/>
        <w:outlineLvl w:val="2"/>
        <w:rPr>
          <w:rFonts w:ascii="Helvetica" w:eastAsia="Times New Roman" w:hAnsi="Helvetica" w:cs="Helvetica"/>
          <w:b/>
          <w:bCs/>
          <w:color w:val="000000"/>
          <w:sz w:val="26"/>
          <w:szCs w:val="26"/>
        </w:rPr>
      </w:pPr>
      <w:r w:rsidRPr="004A1987">
        <w:rPr>
          <w:rFonts w:ascii="Helvetica" w:eastAsia="Times New Roman" w:hAnsi="Helvetica" w:cs="Helvetica"/>
          <w:b/>
          <w:bCs/>
          <w:color w:val="000000"/>
          <w:sz w:val="26"/>
          <w:szCs w:val="26"/>
        </w:rPr>
        <w:t>Deterrence: States Without the Death Penalty Have Had Consistently Lower Murder Rates</w:t>
      </w:r>
    </w:p>
    <w:tbl>
      <w:tblPr>
        <w:tblW w:w="5000" w:type="pct"/>
        <w:tblCellSpacing w:w="7" w:type="dxa"/>
        <w:tblCellMar>
          <w:top w:w="30" w:type="dxa"/>
          <w:left w:w="30" w:type="dxa"/>
          <w:bottom w:w="30" w:type="dxa"/>
          <w:right w:w="30" w:type="dxa"/>
        </w:tblCellMar>
        <w:tblLook w:val="04A0"/>
      </w:tblPr>
      <w:tblGrid>
        <w:gridCol w:w="13048"/>
      </w:tblGrid>
      <w:tr w:rsidR="004A1987" w:rsidRPr="004A1987" w:rsidTr="004A1987">
        <w:trPr>
          <w:tblCellSpacing w:w="7" w:type="dxa"/>
        </w:trPr>
        <w:tc>
          <w:tcPr>
            <w:tcW w:w="0" w:type="auto"/>
            <w:vAlign w:val="center"/>
            <w:hideMark/>
          </w:tcPr>
          <w:p w:rsidR="004A1987" w:rsidRPr="004A1987" w:rsidRDefault="004A1987" w:rsidP="004A1987">
            <w:pPr>
              <w:spacing w:after="0" w:line="240" w:lineRule="auto"/>
              <w:rPr>
                <w:rFonts w:ascii="Helvetica" w:eastAsia="Times New Roman" w:hAnsi="Helvetica" w:cs="Helvetica"/>
                <w:sz w:val="24"/>
                <w:szCs w:val="24"/>
              </w:rPr>
            </w:pPr>
          </w:p>
        </w:tc>
      </w:tr>
    </w:tbl>
    <w:p w:rsidR="004A1987" w:rsidRPr="004A1987" w:rsidRDefault="004A1987" w:rsidP="004A1987">
      <w:pPr>
        <w:shd w:val="clear" w:color="auto" w:fill="FFFFFF"/>
        <w:spacing w:line="240" w:lineRule="auto"/>
        <w:rPr>
          <w:rFonts w:ascii="Helvetica" w:eastAsia="Times New Roman" w:hAnsi="Helvetica" w:cs="Helvetica"/>
          <w:vanish/>
          <w:color w:val="000000"/>
        </w:rPr>
      </w:pPr>
    </w:p>
    <w:tbl>
      <w:tblPr>
        <w:tblW w:w="6750" w:type="dxa"/>
        <w:tblCellSpacing w:w="0" w:type="dxa"/>
        <w:tblCellMar>
          <w:left w:w="0" w:type="dxa"/>
          <w:right w:w="0" w:type="dxa"/>
        </w:tblCellMar>
        <w:tblLook w:val="04A0"/>
      </w:tblPr>
      <w:tblGrid>
        <w:gridCol w:w="13260"/>
      </w:tblGrid>
      <w:tr w:rsidR="004A1987" w:rsidRPr="004A1987" w:rsidTr="004A1987">
        <w:trPr>
          <w:tblCellSpacing w:w="0" w:type="dxa"/>
        </w:trPr>
        <w:tc>
          <w:tcPr>
            <w:tcW w:w="4500" w:type="pct"/>
            <w:tcMar>
              <w:top w:w="150" w:type="dxa"/>
              <w:left w:w="150" w:type="dxa"/>
              <w:bottom w:w="150" w:type="dxa"/>
              <w:right w:w="150" w:type="dxa"/>
            </w:tcMar>
            <w:hideMark/>
          </w:tcPr>
          <w:tbl>
            <w:tblPr>
              <w:tblW w:w="6750" w:type="dxa"/>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108"/>
              <w:gridCol w:w="562"/>
              <w:gridCol w:w="562"/>
              <w:gridCol w:w="563"/>
              <w:gridCol w:w="563"/>
              <w:gridCol w:w="563"/>
              <w:gridCol w:w="563"/>
              <w:gridCol w:w="563"/>
              <w:gridCol w:w="563"/>
              <w:gridCol w:w="563"/>
              <w:gridCol w:w="563"/>
              <w:gridCol w:w="563"/>
              <w:gridCol w:w="563"/>
              <w:gridCol w:w="563"/>
              <w:gridCol w:w="563"/>
              <w:gridCol w:w="563"/>
              <w:gridCol w:w="563"/>
              <w:gridCol w:w="563"/>
              <w:gridCol w:w="563"/>
              <w:gridCol w:w="563"/>
              <w:gridCol w:w="563"/>
              <w:gridCol w:w="578"/>
            </w:tblGrid>
            <w:tr w:rsidR="004A1987" w:rsidRPr="004A1987">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4A1987" w:rsidP="004A1987">
                  <w:pPr>
                    <w:spacing w:after="0" w:line="240" w:lineRule="auto"/>
                    <w:rPr>
                      <w:rFonts w:ascii="Helvetica" w:eastAsia="Times New Roman" w:hAnsi="Helvetica" w:cs="Helvetica"/>
                      <w:b/>
                      <w:bCs/>
                      <w:sz w:val="24"/>
                      <w:szCs w:val="24"/>
                    </w:rPr>
                  </w:pPr>
                  <w:r w:rsidRPr="004A1987">
                    <w:rPr>
                      <w:rFonts w:ascii="Helvetica" w:eastAsia="Times New Roman" w:hAnsi="Helvetica" w:cs="Helvetica"/>
                      <w:b/>
                      <w:bCs/>
                      <w:sz w:val="24"/>
                      <w:szCs w:val="24"/>
                    </w:rPr>
                    <w:t>Year</w:t>
                  </w:r>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4" w:history="1">
                    <w:r w:rsidR="004A1987" w:rsidRPr="004A1987">
                      <w:rPr>
                        <w:rFonts w:ascii="Helvetica" w:eastAsia="Times New Roman" w:hAnsi="Helvetica" w:cs="Helvetica"/>
                        <w:b/>
                        <w:bCs/>
                        <w:color w:val="0404B9"/>
                        <w:sz w:val="24"/>
                        <w:szCs w:val="24"/>
                        <w:u w:val="single"/>
                      </w:rPr>
                      <w:t>1990</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5" w:history="1">
                    <w:r w:rsidR="004A1987" w:rsidRPr="004A1987">
                      <w:rPr>
                        <w:rFonts w:ascii="Helvetica" w:eastAsia="Times New Roman" w:hAnsi="Helvetica" w:cs="Helvetica"/>
                        <w:b/>
                        <w:bCs/>
                        <w:color w:val="0404B9"/>
                        <w:sz w:val="24"/>
                        <w:szCs w:val="24"/>
                        <w:u w:val="single"/>
                      </w:rPr>
                      <w:t>1991</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6" w:history="1">
                    <w:r w:rsidR="004A1987" w:rsidRPr="004A1987">
                      <w:rPr>
                        <w:rFonts w:ascii="Helvetica" w:eastAsia="Times New Roman" w:hAnsi="Helvetica" w:cs="Helvetica"/>
                        <w:b/>
                        <w:bCs/>
                        <w:color w:val="0404B9"/>
                        <w:sz w:val="24"/>
                        <w:szCs w:val="24"/>
                        <w:u w:val="single"/>
                      </w:rPr>
                      <w:t>1992</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7" w:history="1">
                    <w:r w:rsidR="004A1987" w:rsidRPr="004A1987">
                      <w:rPr>
                        <w:rFonts w:ascii="Helvetica" w:eastAsia="Times New Roman" w:hAnsi="Helvetica" w:cs="Helvetica"/>
                        <w:b/>
                        <w:bCs/>
                        <w:color w:val="0404B9"/>
                        <w:sz w:val="24"/>
                        <w:szCs w:val="24"/>
                        <w:u w:val="single"/>
                      </w:rPr>
                      <w:t>1993</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8" w:history="1">
                    <w:r w:rsidR="004A1987" w:rsidRPr="004A1987">
                      <w:rPr>
                        <w:rFonts w:ascii="Helvetica" w:eastAsia="Times New Roman" w:hAnsi="Helvetica" w:cs="Helvetica"/>
                        <w:b/>
                        <w:bCs/>
                        <w:color w:val="0404B9"/>
                        <w:sz w:val="24"/>
                        <w:szCs w:val="24"/>
                        <w:u w:val="single"/>
                      </w:rPr>
                      <w:t>1994</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9" w:history="1">
                    <w:r w:rsidR="004A1987" w:rsidRPr="004A1987">
                      <w:rPr>
                        <w:rFonts w:ascii="Helvetica" w:eastAsia="Times New Roman" w:hAnsi="Helvetica" w:cs="Helvetica"/>
                        <w:b/>
                        <w:bCs/>
                        <w:color w:val="0404B9"/>
                        <w:sz w:val="24"/>
                        <w:szCs w:val="24"/>
                        <w:u w:val="single"/>
                      </w:rPr>
                      <w:t>1995</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0" w:history="1">
                    <w:r w:rsidR="004A1987" w:rsidRPr="004A1987">
                      <w:rPr>
                        <w:rFonts w:ascii="Helvetica" w:eastAsia="Times New Roman" w:hAnsi="Helvetica" w:cs="Helvetica"/>
                        <w:b/>
                        <w:bCs/>
                        <w:color w:val="0404B9"/>
                        <w:sz w:val="24"/>
                        <w:szCs w:val="24"/>
                        <w:u w:val="single"/>
                      </w:rPr>
                      <w:t>1996</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1" w:history="1">
                    <w:r w:rsidR="004A1987" w:rsidRPr="004A1987">
                      <w:rPr>
                        <w:rFonts w:ascii="Helvetica" w:eastAsia="Times New Roman" w:hAnsi="Helvetica" w:cs="Helvetica"/>
                        <w:b/>
                        <w:bCs/>
                        <w:color w:val="0404B9"/>
                        <w:sz w:val="24"/>
                        <w:szCs w:val="24"/>
                        <w:u w:val="single"/>
                      </w:rPr>
                      <w:t>1997</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2" w:history="1">
                    <w:r w:rsidR="004A1987" w:rsidRPr="004A1987">
                      <w:rPr>
                        <w:rFonts w:ascii="Helvetica" w:eastAsia="Times New Roman" w:hAnsi="Helvetica" w:cs="Helvetica"/>
                        <w:b/>
                        <w:bCs/>
                        <w:color w:val="0404B9"/>
                        <w:sz w:val="24"/>
                        <w:szCs w:val="24"/>
                        <w:u w:val="single"/>
                      </w:rPr>
                      <w:t>1998</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3" w:history="1">
                    <w:r w:rsidR="004A1987" w:rsidRPr="004A1987">
                      <w:rPr>
                        <w:rFonts w:ascii="Helvetica" w:eastAsia="Times New Roman" w:hAnsi="Helvetica" w:cs="Helvetica"/>
                        <w:b/>
                        <w:bCs/>
                        <w:color w:val="0404B9"/>
                        <w:sz w:val="24"/>
                        <w:szCs w:val="24"/>
                        <w:u w:val="single"/>
                      </w:rPr>
                      <w:t>1999</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4" w:history="1">
                    <w:r w:rsidR="004A1987" w:rsidRPr="004A1987">
                      <w:rPr>
                        <w:rFonts w:ascii="Helvetica" w:eastAsia="Times New Roman" w:hAnsi="Helvetica" w:cs="Helvetica"/>
                        <w:b/>
                        <w:bCs/>
                        <w:color w:val="0404B9"/>
                        <w:sz w:val="24"/>
                        <w:szCs w:val="24"/>
                        <w:u w:val="single"/>
                      </w:rPr>
                      <w:t>2000</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5" w:history="1">
                    <w:r w:rsidR="004A1987" w:rsidRPr="004A1987">
                      <w:rPr>
                        <w:rFonts w:ascii="Helvetica" w:eastAsia="Times New Roman" w:hAnsi="Helvetica" w:cs="Helvetica"/>
                        <w:b/>
                        <w:bCs/>
                        <w:color w:val="0404B9"/>
                        <w:sz w:val="24"/>
                        <w:szCs w:val="24"/>
                        <w:u w:val="single"/>
                      </w:rPr>
                      <w:t>2001</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6" w:history="1">
                    <w:r w:rsidR="004A1987" w:rsidRPr="004A1987">
                      <w:rPr>
                        <w:rFonts w:ascii="Helvetica" w:eastAsia="Times New Roman" w:hAnsi="Helvetica" w:cs="Helvetica"/>
                        <w:b/>
                        <w:bCs/>
                        <w:color w:val="0404B9"/>
                        <w:sz w:val="24"/>
                        <w:szCs w:val="24"/>
                        <w:u w:val="single"/>
                      </w:rPr>
                      <w:t>2002</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7" w:history="1">
                    <w:r w:rsidR="004A1987" w:rsidRPr="004A1987">
                      <w:rPr>
                        <w:rFonts w:ascii="Helvetica" w:eastAsia="Times New Roman" w:hAnsi="Helvetica" w:cs="Helvetica"/>
                        <w:b/>
                        <w:bCs/>
                        <w:color w:val="0404B9"/>
                        <w:sz w:val="24"/>
                        <w:szCs w:val="24"/>
                        <w:u w:val="single"/>
                      </w:rPr>
                      <w:t>2003</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8" w:history="1">
                    <w:r w:rsidR="004A1987" w:rsidRPr="004A1987">
                      <w:rPr>
                        <w:rFonts w:ascii="Helvetica" w:eastAsia="Times New Roman" w:hAnsi="Helvetica" w:cs="Helvetica"/>
                        <w:b/>
                        <w:bCs/>
                        <w:color w:val="0404B9"/>
                        <w:sz w:val="24"/>
                        <w:szCs w:val="24"/>
                        <w:u w:val="single"/>
                      </w:rPr>
                      <w:t>2004</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19" w:history="1">
                    <w:r w:rsidR="004A1987" w:rsidRPr="004A1987">
                      <w:rPr>
                        <w:rFonts w:ascii="Helvetica" w:eastAsia="Times New Roman" w:hAnsi="Helvetica" w:cs="Helvetica"/>
                        <w:b/>
                        <w:bCs/>
                        <w:color w:val="0404B9"/>
                        <w:sz w:val="24"/>
                        <w:szCs w:val="24"/>
                        <w:u w:val="single"/>
                      </w:rPr>
                      <w:t>2005</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jc w:val="center"/>
                    <w:rPr>
                      <w:rFonts w:ascii="Helvetica" w:eastAsia="Times New Roman" w:hAnsi="Helvetica" w:cs="Helvetica"/>
                      <w:b/>
                      <w:bCs/>
                      <w:sz w:val="24"/>
                      <w:szCs w:val="24"/>
                    </w:rPr>
                  </w:pPr>
                  <w:hyperlink r:id="rId20" w:history="1">
                    <w:r w:rsidR="004A1987" w:rsidRPr="004A1987">
                      <w:rPr>
                        <w:rFonts w:ascii="Helvetica" w:eastAsia="Times New Roman" w:hAnsi="Helvetica" w:cs="Helvetica"/>
                        <w:b/>
                        <w:bCs/>
                        <w:color w:val="0404B9"/>
                        <w:sz w:val="24"/>
                        <w:szCs w:val="24"/>
                        <w:u w:val="single"/>
                      </w:rPr>
                      <w:t>2006</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vAlign w:val="center"/>
                  <w:hideMark/>
                </w:tcPr>
                <w:p w:rsidR="004A1987" w:rsidRPr="004A1987" w:rsidRDefault="003A40CC" w:rsidP="004A1987">
                  <w:pPr>
                    <w:spacing w:after="0" w:line="240" w:lineRule="auto"/>
                    <w:rPr>
                      <w:rFonts w:ascii="Helvetica" w:eastAsia="Times New Roman" w:hAnsi="Helvetica" w:cs="Helvetica"/>
                      <w:sz w:val="24"/>
                      <w:szCs w:val="24"/>
                    </w:rPr>
                  </w:pPr>
                  <w:hyperlink r:id="rId21" w:history="1">
                    <w:r w:rsidR="004A1987" w:rsidRPr="004A1987">
                      <w:rPr>
                        <w:rFonts w:ascii="Helvetica" w:eastAsia="Times New Roman" w:hAnsi="Helvetica" w:cs="Helvetica"/>
                        <w:b/>
                        <w:bCs/>
                        <w:color w:val="0404B9"/>
                        <w:sz w:val="24"/>
                        <w:szCs w:val="24"/>
                        <w:u w:val="single"/>
                      </w:rPr>
                      <w:t>2007</w:t>
                    </w:r>
                  </w:hyperlink>
                </w:p>
              </w:tc>
              <w:tc>
                <w:tcPr>
                  <w:tcW w:w="0" w:type="auto"/>
                  <w:tcBorders>
                    <w:top w:val="outset" w:sz="6" w:space="0" w:color="auto"/>
                    <w:left w:val="outset" w:sz="6" w:space="0" w:color="auto"/>
                    <w:bottom w:val="outset" w:sz="6" w:space="0" w:color="auto"/>
                    <w:right w:val="outset" w:sz="6" w:space="0" w:color="auto"/>
                  </w:tcBorders>
                  <w:shd w:val="clear" w:color="auto" w:fill="C0C0C0"/>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2008</w:t>
                  </w:r>
                </w:p>
              </w:tc>
              <w:tc>
                <w:tcPr>
                  <w:tcW w:w="0" w:type="auto"/>
                  <w:tcBorders>
                    <w:top w:val="outset" w:sz="6" w:space="0" w:color="auto"/>
                    <w:left w:val="outset" w:sz="6" w:space="0" w:color="auto"/>
                    <w:bottom w:val="outset" w:sz="6" w:space="0" w:color="auto"/>
                    <w:right w:val="outset" w:sz="6" w:space="0" w:color="auto"/>
                  </w:tcBorders>
                  <w:shd w:val="clear" w:color="auto" w:fill="C0C0C0"/>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2009</w:t>
                  </w:r>
                </w:p>
              </w:tc>
              <w:tc>
                <w:tcPr>
                  <w:tcW w:w="0" w:type="auto"/>
                  <w:tcBorders>
                    <w:top w:val="outset" w:sz="6" w:space="0" w:color="auto"/>
                    <w:left w:val="outset" w:sz="6" w:space="0" w:color="auto"/>
                    <w:bottom w:val="outset" w:sz="6" w:space="0" w:color="auto"/>
                    <w:right w:val="outset" w:sz="6" w:space="0" w:color="auto"/>
                  </w:tcBorders>
                  <w:shd w:val="clear" w:color="auto" w:fill="C0C0C0"/>
                  <w:hideMark/>
                </w:tcPr>
                <w:p w:rsidR="004A1987" w:rsidRPr="004A1987" w:rsidRDefault="003A40CC" w:rsidP="004A1987">
                  <w:pPr>
                    <w:spacing w:after="0" w:line="240" w:lineRule="auto"/>
                    <w:rPr>
                      <w:rFonts w:ascii="Helvetica" w:eastAsia="Times New Roman" w:hAnsi="Helvetica" w:cs="Helvetica"/>
                      <w:sz w:val="24"/>
                      <w:szCs w:val="24"/>
                    </w:rPr>
                  </w:pPr>
                  <w:hyperlink r:id="rId22" w:history="1">
                    <w:r w:rsidR="004A1987" w:rsidRPr="004A1987">
                      <w:rPr>
                        <w:rFonts w:ascii="Helvetica" w:eastAsia="Times New Roman" w:hAnsi="Helvetica" w:cs="Helvetica"/>
                        <w:b/>
                        <w:bCs/>
                        <w:color w:val="0404B9"/>
                        <w:sz w:val="24"/>
                        <w:szCs w:val="24"/>
                        <w:u w:val="single"/>
                      </w:rPr>
                      <w:t>2010</w:t>
                    </w:r>
                  </w:hyperlink>
                </w:p>
              </w:tc>
            </w:tr>
            <w:tr w:rsidR="004A1987" w:rsidRPr="004A19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b/>
                      <w:bCs/>
                      <w:sz w:val="24"/>
                      <w:szCs w:val="24"/>
                    </w:rPr>
                    <w:t>Murder Rate in Death Penalty States*</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9.5</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9.94</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9.51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9.69</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9.23</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8.59</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7.72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7.09</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6.51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5.86</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5.70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5.82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5.82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5.91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5.71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5.87</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5.90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5.83</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5.72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5.26</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sz w:val="24"/>
                      <w:szCs w:val="24"/>
                    </w:rPr>
                    <w:t>5.00</w:t>
                  </w:r>
                </w:p>
              </w:tc>
            </w:tr>
            <w:tr w:rsidR="004A1987" w:rsidRPr="004A198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b/>
                      <w:bCs/>
                      <w:sz w:val="24"/>
                      <w:szCs w:val="24"/>
                    </w:rPr>
                    <w:t>Murder Rate in</w:t>
                  </w:r>
                  <w:r w:rsidRPr="004A1987">
                    <w:rPr>
                      <w:rFonts w:ascii="Helvetica" w:eastAsia="Times New Roman" w:hAnsi="Helvetica" w:cs="Helvetica"/>
                      <w:sz w:val="24"/>
                      <w:szCs w:val="24"/>
                    </w:rPr>
                    <w:t xml:space="preserve"> </w:t>
                  </w:r>
                  <w:r w:rsidRPr="004A1987">
                    <w:rPr>
                      <w:rFonts w:ascii="Helvetica" w:eastAsia="Times New Roman" w:hAnsi="Helvetica" w:cs="Helvetica"/>
                      <w:sz w:val="24"/>
                      <w:szCs w:val="24"/>
                    </w:rPr>
                    <w:br/>
                  </w:r>
                  <w:r w:rsidRPr="004A1987">
                    <w:rPr>
                      <w:rFonts w:ascii="Helvetica" w:eastAsia="Times New Roman" w:hAnsi="Helvetica" w:cs="Helvetica"/>
                      <w:b/>
                      <w:bCs/>
                      <w:sz w:val="24"/>
                      <w:szCs w:val="24"/>
                    </w:rPr>
                    <w:t xml:space="preserve">Non-death </w:t>
                  </w:r>
                  <w:r w:rsidRPr="004A1987">
                    <w:rPr>
                      <w:rFonts w:ascii="Helvetica" w:eastAsia="Times New Roman" w:hAnsi="Helvetica" w:cs="Helvetica"/>
                      <w:sz w:val="24"/>
                      <w:szCs w:val="24"/>
                    </w:rPr>
                    <w:br/>
                  </w:r>
                  <w:r w:rsidRPr="004A1987">
                    <w:rPr>
                      <w:rFonts w:ascii="Helvetica" w:eastAsia="Times New Roman" w:hAnsi="Helvetica" w:cs="Helvetica"/>
                      <w:b/>
                      <w:bCs/>
                      <w:sz w:val="24"/>
                      <w:szCs w:val="24"/>
                    </w:rPr>
                    <w:t>Penalty States</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9.16</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9.27</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8.63</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8.81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7.88</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6.78</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5.37</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5.00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4.61</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4.59</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4.25</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4.27</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4.10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4.02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4.03</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4.22</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4.10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4.05</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3.90</w:t>
                  </w:r>
                </w:p>
              </w:tc>
              <w:tc>
                <w:tcPr>
                  <w:tcW w:w="0" w:type="auto"/>
                  <w:tcBorders>
                    <w:top w:val="outset" w:sz="6" w:space="0" w:color="auto"/>
                    <w:left w:val="outset" w:sz="6" w:space="0" w:color="auto"/>
                    <w:bottom w:val="outset" w:sz="6" w:space="0" w:color="auto"/>
                    <w:right w:val="outset" w:sz="6" w:space="0" w:color="auto"/>
                  </w:tcBorders>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sz w:val="24"/>
                      <w:szCs w:val="24"/>
                    </w:rPr>
                    <w:t>4.01</w:t>
                  </w:r>
                </w:p>
              </w:tc>
            </w:tr>
            <w:tr w:rsidR="004A1987" w:rsidRPr="004A1987">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rPr>
                      <w:rFonts w:ascii="Helvetica" w:eastAsia="Times New Roman" w:hAnsi="Helvetica" w:cs="Helvetica"/>
                      <w:sz w:val="24"/>
                      <w:szCs w:val="24"/>
                    </w:rPr>
                  </w:pPr>
                  <w:r w:rsidRPr="004A1987">
                    <w:rPr>
                      <w:rFonts w:ascii="Helvetica" w:eastAsia="Times New Roman" w:hAnsi="Helvetica" w:cs="Helvetica"/>
                      <w:b/>
                      <w:bCs/>
                      <w:sz w:val="24"/>
                      <w:szCs w:val="24"/>
                    </w:rPr>
                    <w:t>Percent</w:t>
                  </w:r>
                  <w:r w:rsidRPr="004A1987">
                    <w:rPr>
                      <w:rFonts w:ascii="Helvetica" w:eastAsia="Times New Roman" w:hAnsi="Helvetica" w:cs="Helvetica"/>
                      <w:sz w:val="24"/>
                      <w:szCs w:val="24"/>
                    </w:rPr>
                    <w:t xml:space="preserve"> </w:t>
                  </w:r>
                  <w:r w:rsidRPr="004A1987">
                    <w:rPr>
                      <w:rFonts w:ascii="Helvetica" w:eastAsia="Times New Roman" w:hAnsi="Helvetica" w:cs="Helvetica"/>
                      <w:sz w:val="24"/>
                      <w:szCs w:val="24"/>
                    </w:rPr>
                    <w:br/>
                  </w:r>
                  <w:r w:rsidRPr="004A1987">
                    <w:rPr>
                      <w:rFonts w:ascii="Helvetica" w:eastAsia="Times New Roman" w:hAnsi="Helvetica" w:cs="Helvetica"/>
                      <w:b/>
                      <w:bCs/>
                      <w:sz w:val="24"/>
                      <w:szCs w:val="24"/>
                    </w:rPr>
                    <w:t>Difference</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7%</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10%</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17%</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27%</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44%</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42%</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28%</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35%</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37%</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36%</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44%</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42%</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 xml:space="preserve">46% </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42%</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41%</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color w:val="000000"/>
                      <w:sz w:val="24"/>
                      <w:szCs w:val="24"/>
                    </w:rPr>
                    <w:t>35%</w:t>
                  </w:r>
                </w:p>
              </w:tc>
              <w:tc>
                <w:tcPr>
                  <w:tcW w:w="0" w:type="auto"/>
                  <w:tcBorders>
                    <w:top w:val="outset" w:sz="6" w:space="0" w:color="auto"/>
                    <w:left w:val="outset" w:sz="6" w:space="0" w:color="auto"/>
                    <w:bottom w:val="outset" w:sz="6" w:space="0" w:color="auto"/>
                    <w:right w:val="outset" w:sz="6" w:space="0" w:color="auto"/>
                  </w:tcBorders>
                  <w:shd w:val="clear" w:color="auto" w:fill="ACACAC"/>
                  <w:vAlign w:val="center"/>
                  <w:hideMark/>
                </w:tcPr>
                <w:p w:rsidR="004A1987" w:rsidRPr="004A1987" w:rsidRDefault="004A1987" w:rsidP="004A1987">
                  <w:pPr>
                    <w:spacing w:after="0" w:line="240" w:lineRule="auto"/>
                    <w:jc w:val="center"/>
                    <w:rPr>
                      <w:rFonts w:ascii="Helvetica" w:eastAsia="Times New Roman" w:hAnsi="Helvetica" w:cs="Helvetica"/>
                      <w:sz w:val="24"/>
                      <w:szCs w:val="24"/>
                    </w:rPr>
                  </w:pPr>
                  <w:r w:rsidRPr="004A1987">
                    <w:rPr>
                      <w:rFonts w:ascii="Helvetica" w:eastAsia="Times New Roman" w:hAnsi="Helvetica" w:cs="Helvetica"/>
                      <w:b/>
                      <w:bCs/>
                      <w:sz w:val="24"/>
                      <w:szCs w:val="24"/>
                    </w:rPr>
                    <w:t>25%</w:t>
                  </w:r>
                </w:p>
              </w:tc>
            </w:tr>
          </w:tbl>
          <w:p w:rsidR="004A1987" w:rsidRPr="004A1987" w:rsidRDefault="004A1987" w:rsidP="004A1987">
            <w:pPr>
              <w:spacing w:after="0" w:line="240" w:lineRule="auto"/>
              <w:rPr>
                <w:rFonts w:ascii="Helvetica" w:eastAsia="Times New Roman" w:hAnsi="Helvetica" w:cs="Helvetica"/>
                <w:sz w:val="24"/>
                <w:szCs w:val="24"/>
              </w:rPr>
            </w:pPr>
          </w:p>
        </w:tc>
      </w:tr>
    </w:tbl>
    <w:p w:rsidR="004A1987" w:rsidRPr="004A1987" w:rsidRDefault="004A1987" w:rsidP="004A1987">
      <w:pPr>
        <w:shd w:val="clear" w:color="auto" w:fill="FFFFFF"/>
        <w:spacing w:before="240" w:after="240" w:line="240" w:lineRule="auto"/>
        <w:rPr>
          <w:rFonts w:ascii="Helvetica" w:eastAsia="Times New Roman" w:hAnsi="Helvetica" w:cs="Helvetica"/>
          <w:color w:val="000000"/>
        </w:rPr>
      </w:pPr>
      <w:r w:rsidRPr="004A1987">
        <w:rPr>
          <w:rFonts w:ascii="Helvetica" w:eastAsia="Times New Roman" w:hAnsi="Helvetica" w:cs="Helvetica"/>
          <w:color w:val="000000"/>
        </w:rPr>
        <w:t> </w:t>
      </w:r>
    </w:p>
    <w:p w:rsidR="004A1987" w:rsidRPr="004A1987" w:rsidRDefault="004A1987" w:rsidP="004A1987">
      <w:pPr>
        <w:shd w:val="clear" w:color="auto" w:fill="FFFFFF"/>
        <w:spacing w:before="240" w:after="240" w:line="240" w:lineRule="auto"/>
        <w:rPr>
          <w:rFonts w:ascii="Helvetica" w:eastAsia="Times New Roman" w:hAnsi="Helvetica" w:cs="Helvetica"/>
          <w:color w:val="000000"/>
        </w:rPr>
      </w:pPr>
      <w:r w:rsidRPr="004A1987">
        <w:rPr>
          <w:rFonts w:ascii="Helvetica" w:eastAsia="Times New Roman" w:hAnsi="Helvetica" w:cs="Helvetica"/>
          <w:color w:val="000000"/>
        </w:rPr>
        <w:t>(click on year to see the murder rates and calculations involved in this analysis, provided by David Cooper)</w:t>
      </w:r>
      <w:r w:rsidRPr="004A1987">
        <w:rPr>
          <w:rFonts w:ascii="Helvetica" w:eastAsia="Times New Roman" w:hAnsi="Helvetica" w:cs="Helvetica"/>
          <w:color w:val="000000"/>
        </w:rPr>
        <w:br/>
        <w:t>* Includes Kansas and New York in the years after they adopted the death penalty, 1994 and 1995 respectively. New Jersey and New York ended the death penalty in the latter part of 2007 and will not be counted as death penalty states in 2008.</w:t>
      </w:r>
    </w:p>
    <w:p w:rsidR="004A1987" w:rsidRPr="004A1987" w:rsidRDefault="003A40CC" w:rsidP="004A1987">
      <w:pPr>
        <w:shd w:val="clear" w:color="auto" w:fill="FFFFFF"/>
        <w:spacing w:after="0" w:line="240" w:lineRule="auto"/>
        <w:rPr>
          <w:rFonts w:ascii="Helvetica" w:eastAsia="Times New Roman" w:hAnsi="Helvetica" w:cs="Helvetica"/>
          <w:color w:val="000000"/>
        </w:rPr>
      </w:pPr>
      <w:r w:rsidRPr="003A40CC">
        <w:rPr>
          <w:rFonts w:ascii="Helvetica" w:eastAsia="Times New Roman" w:hAnsi="Helvetica" w:cs="Helvetica"/>
          <w:color w:val="000000"/>
        </w:rPr>
        <w:lastRenderedPageBreak/>
        <w:pict>
          <v:rect id="_x0000_i1025" style="width:468pt;height:.75pt" o:hralign="center" o:hrstd="t" o:hr="t" fillcolor="#a0a0a0" stroked="f"/>
        </w:pict>
      </w:r>
    </w:p>
    <w:p w:rsidR="004A1987" w:rsidRPr="004A1987" w:rsidRDefault="004A1987" w:rsidP="004A1987">
      <w:pPr>
        <w:shd w:val="clear" w:color="auto" w:fill="FFFFFF"/>
        <w:spacing w:before="240" w:after="240" w:line="240" w:lineRule="auto"/>
        <w:rPr>
          <w:rFonts w:ascii="Helvetica" w:eastAsia="Times New Roman" w:hAnsi="Helvetica" w:cs="Helvetica"/>
          <w:color w:val="000000"/>
        </w:rPr>
      </w:pPr>
      <w:r w:rsidRPr="004A1987">
        <w:rPr>
          <w:rFonts w:ascii="Helvetica" w:eastAsia="Times New Roman" w:hAnsi="Helvetica" w:cs="Helvetica"/>
          <w:b/>
          <w:bCs/>
          <w:color w:val="000000"/>
        </w:rPr>
        <w:t>Notes:</w:t>
      </w:r>
    </w:p>
    <w:p w:rsidR="004A1987" w:rsidRPr="004A1987" w:rsidRDefault="003A40CC" w:rsidP="004A1987">
      <w:pPr>
        <w:shd w:val="clear" w:color="auto" w:fill="FFFFFF"/>
        <w:spacing w:after="0" w:line="240" w:lineRule="auto"/>
        <w:rPr>
          <w:rFonts w:ascii="Helvetica" w:eastAsia="Times New Roman" w:hAnsi="Helvetica" w:cs="Helvetica"/>
          <w:color w:val="000000"/>
        </w:rPr>
      </w:pPr>
      <w:r w:rsidRPr="003A40CC">
        <w:rPr>
          <w:rFonts w:ascii="Helvetica" w:eastAsia="Times New Roman" w:hAnsi="Helvetica" w:cs="Helvetica"/>
          <w:color w:val="000000"/>
        </w:rPr>
        <w:pict>
          <v:rect id="_x0000_i1026" style="width:0;height:.75pt" o:hralign="center" o:hrstd="t" o:hr="t" fillcolor="#a0a0a0" stroked="f"/>
        </w:pic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i/>
          <w:iCs/>
          <w:color w:val="000000"/>
        </w:rPr>
        <w:t>Populations are from the U.S. Census estimates for each year.</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i/>
          <w:iCs/>
          <w:color w:val="000000"/>
        </w:rPr>
        <w:t>Murder rates are from the FBI's "Crime in the United States" and are per 100,000 population.</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i/>
          <w:iCs/>
          <w:color w:val="000000"/>
        </w:rPr>
        <w:t>The murder rate for the region (death penalty states or non-death penalty states) is the total number of murders in the region divided by the total population (and then multiplied by 100,000)</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i/>
          <w:iCs/>
          <w:color w:val="000000"/>
        </w:rPr>
        <w:t>In calculations that include Kansas and New York, Kansas is counted as a death penalty state from 1994 and New York from 1996, since New York's law did not become effective until September, 1995.</w:t>
      </w:r>
    </w:p>
    <w:p w:rsidR="004A1987" w:rsidRPr="004A1987" w:rsidRDefault="003A40CC" w:rsidP="004A1987">
      <w:pPr>
        <w:shd w:val="clear" w:color="auto" w:fill="FFFFFF"/>
        <w:spacing w:after="0" w:line="240" w:lineRule="auto"/>
        <w:rPr>
          <w:rFonts w:ascii="Helvetica" w:eastAsia="Times New Roman" w:hAnsi="Helvetica" w:cs="Helvetica"/>
          <w:color w:val="000000"/>
        </w:rPr>
      </w:pPr>
      <w:r w:rsidRPr="003A40CC">
        <w:rPr>
          <w:rFonts w:ascii="Helvetica" w:eastAsia="Times New Roman" w:hAnsi="Helvetica" w:cs="Helvetica"/>
          <w:color w:val="000000"/>
        </w:rPr>
        <w:pict>
          <v:rect id="_x0000_i1027" style="width:468pt;height:.75pt" o:hralign="center" o:hrstd="t" o:hr="t" fillcolor="#a0a0a0" stroked="f"/>
        </w:pict>
      </w: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DE5BC6" w:rsidRDefault="00DE5BC6" w:rsidP="004A1987">
      <w:pPr>
        <w:shd w:val="clear" w:color="auto" w:fill="FFFFFF"/>
        <w:spacing w:before="240" w:after="240" w:line="240" w:lineRule="auto"/>
        <w:jc w:val="center"/>
        <w:rPr>
          <w:rFonts w:ascii="Helvetica" w:eastAsia="Times New Roman" w:hAnsi="Helvetica" w:cs="Helvetica"/>
          <w:b/>
          <w:bCs/>
          <w:color w:val="000000"/>
          <w:sz w:val="27"/>
        </w:rPr>
      </w:pPr>
    </w:p>
    <w:p w:rsidR="004A1987" w:rsidRPr="004A1987" w:rsidRDefault="004A1987" w:rsidP="004A1987">
      <w:pPr>
        <w:shd w:val="clear" w:color="auto" w:fill="FFFFFF"/>
        <w:spacing w:before="240" w:after="240" w:line="240" w:lineRule="auto"/>
        <w:jc w:val="center"/>
        <w:rPr>
          <w:rFonts w:ascii="Helvetica" w:eastAsia="Times New Roman" w:hAnsi="Helvetica" w:cs="Helvetica"/>
          <w:color w:val="000000"/>
        </w:rPr>
      </w:pPr>
      <w:r w:rsidRPr="004A1987">
        <w:rPr>
          <w:rFonts w:ascii="Helvetica" w:eastAsia="Times New Roman" w:hAnsi="Helvetica" w:cs="Helvetica"/>
          <w:b/>
          <w:bCs/>
          <w:color w:val="000000"/>
          <w:sz w:val="27"/>
        </w:rPr>
        <w:lastRenderedPageBreak/>
        <w:t>Murder Rates in Death Penalty States and Non-Death Penalty States</w:t>
      </w:r>
    </w:p>
    <w:p w:rsidR="004A1987" w:rsidRPr="004A1987" w:rsidRDefault="004A1987" w:rsidP="004A1987">
      <w:pPr>
        <w:shd w:val="clear" w:color="auto" w:fill="FFFFFF"/>
        <w:spacing w:before="240" w:after="240" w:line="240" w:lineRule="auto"/>
        <w:jc w:val="center"/>
        <w:rPr>
          <w:rFonts w:ascii="Helvetica" w:eastAsia="Times New Roman" w:hAnsi="Helvetica" w:cs="Helvetica"/>
          <w:color w:val="000000"/>
        </w:rPr>
      </w:pPr>
      <w:r>
        <w:rPr>
          <w:rFonts w:ascii="Helvetica" w:eastAsia="Times New Roman" w:hAnsi="Helvetica" w:cs="Helvetica"/>
          <w:noProof/>
          <w:color w:val="000000"/>
        </w:rPr>
        <w:drawing>
          <wp:inline distT="0" distB="0" distL="0" distR="0">
            <wp:extent cx="8477250" cy="3295650"/>
            <wp:effectExtent l="19050" t="0" r="0" b="0"/>
            <wp:docPr id="4" name="Picture 4" descr="http://m.deathpenaltyinfo.org/files/murderratesdpvsnod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deathpenaltyinfo.org/files/murderratesdpvsnodp.jpg"/>
                    <pic:cNvPicPr>
                      <a:picLocks noChangeAspect="1" noChangeArrowheads="1"/>
                    </pic:cNvPicPr>
                  </pic:nvPicPr>
                  <pic:blipFill>
                    <a:blip r:embed="rId23" cstate="print"/>
                    <a:srcRect/>
                    <a:stretch>
                      <a:fillRect/>
                    </a:stretch>
                  </pic:blipFill>
                  <pic:spPr bwMode="auto">
                    <a:xfrm>
                      <a:off x="0" y="0"/>
                      <a:ext cx="8477250" cy="3295650"/>
                    </a:xfrm>
                    <a:prstGeom prst="rect">
                      <a:avLst/>
                    </a:prstGeom>
                    <a:noFill/>
                    <a:ln w="9525">
                      <a:noFill/>
                      <a:miter lim="800000"/>
                      <a:headEnd/>
                      <a:tailEnd/>
                    </a:ln>
                  </pic:spPr>
                </pic:pic>
              </a:graphicData>
            </a:graphic>
          </wp:inline>
        </w:drawing>
      </w:r>
    </w:p>
    <w:p w:rsidR="004A1987" w:rsidRPr="004A1987" w:rsidRDefault="004A1987" w:rsidP="004A1987">
      <w:pPr>
        <w:shd w:val="clear" w:color="auto" w:fill="FFFFFF"/>
        <w:spacing w:after="0" w:line="240" w:lineRule="auto"/>
        <w:rPr>
          <w:rFonts w:ascii="Helvetica" w:eastAsia="Times New Roman" w:hAnsi="Helvetica" w:cs="Helvetica"/>
          <w:color w:val="000000"/>
        </w:rPr>
      </w:pPr>
      <w:r w:rsidRPr="00DE5BC6">
        <w:rPr>
          <w:rFonts w:ascii="Helvetica" w:eastAsia="Times New Roman" w:hAnsi="Helvetica" w:cs="Helvetica"/>
          <w:color w:val="000000"/>
          <w:highlight w:val="yellow"/>
        </w:rPr>
        <w:t>The murder rate in non-death penalty states has remained consistently lower than the rate in states with the death penalty, and the gap has grown since 1990.</w:t>
      </w:r>
    </w:p>
    <w:p w:rsidR="004A1987" w:rsidRPr="004A1987" w:rsidRDefault="004A1987" w:rsidP="004A1987">
      <w:pPr>
        <w:shd w:val="clear" w:color="auto" w:fill="FFFFFF"/>
        <w:spacing w:before="240" w:after="240" w:line="240" w:lineRule="auto"/>
        <w:jc w:val="center"/>
        <w:rPr>
          <w:rFonts w:ascii="Helvetica" w:eastAsia="Times New Roman" w:hAnsi="Helvetica" w:cs="Helvetica"/>
          <w:color w:val="000000"/>
        </w:rPr>
      </w:pPr>
      <w:r>
        <w:rPr>
          <w:rFonts w:ascii="Helvetica" w:eastAsia="Times New Roman" w:hAnsi="Helvetica" w:cs="Helvetica"/>
          <w:noProof/>
          <w:color w:val="000000"/>
        </w:rPr>
        <w:lastRenderedPageBreak/>
        <w:drawing>
          <wp:inline distT="0" distB="0" distL="0" distR="0">
            <wp:extent cx="6515100" cy="3943350"/>
            <wp:effectExtent l="19050" t="0" r="0" b="0"/>
            <wp:docPr id="5" name="Picture 5" descr="http://m.deathpenaltyinfo.org/files/murderratedifference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deathpenaltyinfo.org/files/murderratedifferencegraph.jpg"/>
                    <pic:cNvPicPr>
                      <a:picLocks noChangeAspect="1" noChangeArrowheads="1"/>
                    </pic:cNvPicPr>
                  </pic:nvPicPr>
                  <pic:blipFill>
                    <a:blip r:embed="rId24" cstate="print"/>
                    <a:srcRect/>
                    <a:stretch>
                      <a:fillRect/>
                    </a:stretch>
                  </pic:blipFill>
                  <pic:spPr bwMode="auto">
                    <a:xfrm>
                      <a:off x="0" y="0"/>
                      <a:ext cx="6515100" cy="3943350"/>
                    </a:xfrm>
                    <a:prstGeom prst="rect">
                      <a:avLst/>
                    </a:prstGeom>
                    <a:noFill/>
                    <a:ln w="9525">
                      <a:noFill/>
                      <a:miter lim="800000"/>
                      <a:headEnd/>
                      <a:tailEnd/>
                    </a:ln>
                  </pic:spPr>
                </pic:pic>
              </a:graphicData>
            </a:graphic>
          </wp:inline>
        </w:drawing>
      </w:r>
    </w:p>
    <w:p w:rsidR="004A1987" w:rsidRPr="004A1987" w:rsidRDefault="003A40CC" w:rsidP="004A1987">
      <w:pPr>
        <w:shd w:val="clear" w:color="auto" w:fill="FFFFFF"/>
        <w:spacing w:before="240" w:after="240" w:line="240" w:lineRule="auto"/>
        <w:rPr>
          <w:rFonts w:ascii="Helvetica" w:eastAsia="Times New Roman" w:hAnsi="Helvetica" w:cs="Helvetica"/>
          <w:color w:val="000000"/>
        </w:rPr>
      </w:pPr>
      <w:hyperlink r:id="rId25" w:history="1">
        <w:r w:rsidR="004A1987" w:rsidRPr="004A1987">
          <w:rPr>
            <w:rFonts w:ascii="Helvetica" w:eastAsia="Times New Roman" w:hAnsi="Helvetica" w:cs="Helvetica"/>
            <w:b/>
            <w:bCs/>
            <w:color w:val="0404B9"/>
            <w:u w:val="single"/>
          </w:rPr>
          <w:br/>
        </w:r>
      </w:hyperlink>
    </w:p>
    <w:p w:rsidR="004A1987" w:rsidRPr="004A1987" w:rsidRDefault="003A40CC" w:rsidP="004A1987">
      <w:pPr>
        <w:shd w:val="clear" w:color="auto" w:fill="FFFFFF"/>
        <w:spacing w:after="0" w:line="240" w:lineRule="auto"/>
        <w:rPr>
          <w:rFonts w:ascii="Helvetica" w:eastAsia="Times New Roman" w:hAnsi="Helvetica" w:cs="Helvetica"/>
          <w:color w:val="000000"/>
        </w:rPr>
      </w:pPr>
      <w:r w:rsidRPr="003A40CC">
        <w:rPr>
          <w:rFonts w:ascii="Helvetica" w:eastAsia="Times New Roman" w:hAnsi="Helvetica" w:cs="Helvetica"/>
          <w:color w:val="000000"/>
        </w:rPr>
        <w:pict>
          <v:rect id="_x0000_i1028" style="width:0;height:.75pt" o:hralign="center" o:hrstd="t" o:hr="t" fillcolor="#a0a0a0" stroked="f"/>
        </w:pict>
      </w:r>
    </w:p>
    <w:p w:rsidR="004A1987" w:rsidRPr="004A1987" w:rsidRDefault="004A1987" w:rsidP="004A1987">
      <w:pPr>
        <w:shd w:val="clear" w:color="auto" w:fill="FFFFFF"/>
        <w:spacing w:before="240" w:after="240" w:line="240" w:lineRule="auto"/>
        <w:rPr>
          <w:rFonts w:ascii="Helvetica" w:eastAsia="Times New Roman" w:hAnsi="Helvetica" w:cs="Helvetica"/>
          <w:color w:val="000000"/>
        </w:rPr>
      </w:pPr>
      <w:bookmarkStart w:id="0" w:name="studies"/>
      <w:bookmarkEnd w:id="0"/>
      <w:r w:rsidRPr="004A1987">
        <w:rPr>
          <w:rFonts w:ascii="Helvetica" w:eastAsia="Times New Roman" w:hAnsi="Helvetica" w:cs="Helvetica"/>
          <w:b/>
          <w:bCs/>
          <w:color w:val="000000"/>
        </w:rPr>
        <w:t>STUDIES COMPARING STATES WITH THE DEATH PENALTY AND STATES WITHOUT</w:t>
      </w:r>
    </w:p>
    <w:p w:rsidR="004A1987" w:rsidRPr="004A1987" w:rsidRDefault="003A40CC" w:rsidP="004A1987">
      <w:pPr>
        <w:shd w:val="clear" w:color="auto" w:fill="FFFFFF"/>
        <w:spacing w:after="0" w:line="240" w:lineRule="auto"/>
        <w:rPr>
          <w:rFonts w:ascii="Helvetica" w:eastAsia="Times New Roman" w:hAnsi="Helvetica" w:cs="Helvetica"/>
          <w:color w:val="000000"/>
        </w:rPr>
      </w:pPr>
      <w:r w:rsidRPr="003A40CC">
        <w:rPr>
          <w:rFonts w:ascii="Helvetica" w:eastAsia="Times New Roman" w:hAnsi="Helvetica" w:cs="Helvetica"/>
          <w:color w:val="000000"/>
        </w:rPr>
        <w:pict>
          <v:rect id="_x0000_i1029" style="width:0;height:.75pt" o:hralign="center" o:hrstd="t" o:hr="t" fillcolor="#a0a0a0" stroked="f"/>
        </w:pic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Pr>
          <w:rFonts w:ascii="Helvetica" w:eastAsia="Times New Roman" w:hAnsi="Helvetica" w:cs="Helvetica"/>
          <w:noProof/>
          <w:color w:val="000000"/>
        </w:rPr>
        <w:lastRenderedPageBreak/>
        <w:drawing>
          <wp:anchor distT="0" distB="0" distL="0" distR="0" simplePos="0" relativeHeight="251656704" behindDoc="0" locked="0" layoutInCell="1" allowOverlap="0">
            <wp:simplePos x="0" y="0"/>
            <wp:positionH relativeFrom="column">
              <wp:align>right</wp:align>
            </wp:positionH>
            <wp:positionV relativeFrom="line">
              <wp:posOffset>0</wp:posOffset>
            </wp:positionV>
            <wp:extent cx="3810000" cy="4219575"/>
            <wp:effectExtent l="19050" t="0" r="0" b="0"/>
            <wp:wrapSquare wrapText="bothSides"/>
            <wp:docPr id="2" name="Picture 2" descr="http://m.deathpenaltyinfo.org/files/MurderRateBarGrap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deathpenaltyinfo.org/files/MurderRateBarGraph.jpg"/>
                    <pic:cNvPicPr>
                      <a:picLocks noChangeAspect="1" noChangeArrowheads="1"/>
                    </pic:cNvPicPr>
                  </pic:nvPicPr>
                  <pic:blipFill>
                    <a:blip r:embed="rId26" cstate="print"/>
                    <a:srcRect/>
                    <a:stretch>
                      <a:fillRect/>
                    </a:stretch>
                  </pic:blipFill>
                  <pic:spPr bwMode="auto">
                    <a:xfrm>
                      <a:off x="0" y="0"/>
                      <a:ext cx="3810000" cy="4219575"/>
                    </a:xfrm>
                    <a:prstGeom prst="rect">
                      <a:avLst/>
                    </a:prstGeom>
                    <a:noFill/>
                    <a:ln w="9525">
                      <a:noFill/>
                      <a:miter lim="800000"/>
                      <a:headEnd/>
                      <a:tailEnd/>
                    </a:ln>
                  </pic:spPr>
                </pic:pic>
              </a:graphicData>
            </a:graphic>
          </wp:anchor>
        </w:drawing>
      </w:r>
      <w:r w:rsidRPr="004A1987">
        <w:rPr>
          <w:rFonts w:ascii="Helvetica" w:eastAsia="Times New Roman" w:hAnsi="Helvetica" w:cs="Helvetica"/>
          <w:b/>
          <w:bCs/>
          <w:color w:val="000000"/>
        </w:rPr>
        <w:t xml:space="preserve">Michigan Lawmakers Reaffirm State's Longstanding Ban on Capital Punishment - </w:t>
      </w:r>
      <w:r w:rsidRPr="004A1987">
        <w:rPr>
          <w:rFonts w:ascii="Helvetica" w:eastAsia="Times New Roman" w:hAnsi="Helvetica" w:cs="Helvetica"/>
          <w:color w:val="000000"/>
        </w:rPr>
        <w:t xml:space="preserve">In a vote upholding the state's longstanding abolition of the death penalty, Michigan lawmakers refused to support a measure that would have put capital punishment before state voters in a referendum. The vote fell 18 short of the 2/3 required for passage. During a lengthy House debate regarding the bill, Representative Jack Minor (D-Flint) told his colleagues that </w:t>
      </w:r>
      <w:r w:rsidRPr="00DE5BC6">
        <w:rPr>
          <w:rFonts w:ascii="Helvetica" w:eastAsia="Times New Roman" w:hAnsi="Helvetica" w:cs="Helvetica"/>
          <w:color w:val="000000"/>
          <w:highlight w:val="yellow"/>
        </w:rPr>
        <w:t>studies show crime rates are lower in states without the death penalty.</w:t>
      </w:r>
      <w:r w:rsidRPr="004A1987">
        <w:rPr>
          <w:rFonts w:ascii="Helvetica" w:eastAsia="Times New Roman" w:hAnsi="Helvetica" w:cs="Helvetica"/>
          <w:color w:val="000000"/>
        </w:rPr>
        <w:t xml:space="preserve"> He noted, </w:t>
      </w:r>
      <w:r w:rsidRPr="00DE5BC6">
        <w:rPr>
          <w:rFonts w:ascii="Helvetica" w:eastAsia="Times New Roman" w:hAnsi="Helvetica" w:cs="Helvetica"/>
          <w:color w:val="FFFFFF" w:themeColor="background1"/>
          <w:highlight w:val="black"/>
        </w:rPr>
        <w:t>"The death penalty's not a deterrent. In fact, the figures would suggest it's just the opposite."</w:t>
      </w:r>
      <w:r w:rsidRPr="00DE5BC6">
        <w:rPr>
          <w:rFonts w:ascii="Helvetica" w:eastAsia="Times New Roman" w:hAnsi="Helvetica" w:cs="Helvetica"/>
        </w:rPr>
        <w:t xml:space="preserve"> Other</w:t>
      </w:r>
      <w:r w:rsidRPr="00DE5BC6">
        <w:rPr>
          <w:rFonts w:ascii="Helvetica" w:eastAsia="Times New Roman" w:hAnsi="Helvetica" w:cs="Helvetica"/>
          <w:color w:val="FFFFFF" w:themeColor="background1"/>
        </w:rPr>
        <w:t xml:space="preserve"> </w:t>
      </w:r>
      <w:r w:rsidRPr="004A1987">
        <w:rPr>
          <w:rFonts w:ascii="Helvetica" w:eastAsia="Times New Roman" w:hAnsi="Helvetica" w:cs="Helvetica"/>
          <w:color w:val="000000"/>
        </w:rPr>
        <w:t>opponents of the measure stated that "revenge" would not help victims' families. Michigan has not had the death penalty for 158 years, and voters have not addressed the issue since its abolition was included in the 1963 revision of the state constitution. Michigan is one of 12 states in the U.S. that does not have a death penalty. (Michigan Live, March 19, 2004) The state was the first English speaking government in the world to ban the practice.</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b/>
          <w:bCs/>
          <w:color w:val="000000"/>
        </w:rPr>
        <w:t>States Without the Death Penalty Have Better Record on Homicide Rates</w:t>
      </w:r>
      <w:r w:rsidRPr="004A1987">
        <w:rPr>
          <w:rFonts w:ascii="Helvetica" w:eastAsia="Times New Roman" w:hAnsi="Helvetica" w:cs="Helvetica"/>
          <w:color w:val="000000"/>
        </w:rPr>
        <w:t xml:space="preserve"> - </w:t>
      </w:r>
      <w:r w:rsidRPr="00DE5BC6">
        <w:rPr>
          <w:rFonts w:ascii="Helvetica" w:eastAsia="Times New Roman" w:hAnsi="Helvetica" w:cs="Helvetica"/>
          <w:color w:val="000000"/>
          <w:highlight w:val="yellow"/>
        </w:rPr>
        <w:t>A new survey by the New York Times found that states without the death penalty have lower homicide rates than states with the death penalty.</w:t>
      </w:r>
      <w:r w:rsidRPr="004A1987">
        <w:rPr>
          <w:rFonts w:ascii="Helvetica" w:eastAsia="Times New Roman" w:hAnsi="Helvetica" w:cs="Helvetica"/>
          <w:color w:val="000000"/>
        </w:rPr>
        <w:t xml:space="preserve"> The Times reports that ten of the twelve states without the death penalty have homicide rates below the national average, whereas half of the states with the death penalty have homicide rates above. During the last 20 years, the homicide rate in states with the death penalty has been 48% - 101% higher than in states without the death penalty. "I think Michigan made a wise decision 150 years ago," said the state's governor, John </w:t>
      </w:r>
      <w:proofErr w:type="spellStart"/>
      <w:r w:rsidRPr="004A1987">
        <w:rPr>
          <w:rFonts w:ascii="Helvetica" w:eastAsia="Times New Roman" w:hAnsi="Helvetica" w:cs="Helvetica"/>
          <w:color w:val="000000"/>
        </w:rPr>
        <w:t>Engler</w:t>
      </w:r>
      <w:proofErr w:type="spellEnd"/>
      <w:r w:rsidRPr="004A1987">
        <w:rPr>
          <w:rFonts w:ascii="Helvetica" w:eastAsia="Times New Roman" w:hAnsi="Helvetica" w:cs="Helvetica"/>
          <w:color w:val="000000"/>
        </w:rPr>
        <w:t>, a Republican, referring to the state's abolition of the death penalty in 1846. "We're pretty proud of the fact that we don't have the death penalty." (New York Times, 9/22/00)</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b/>
          <w:bCs/>
          <w:color w:val="000000"/>
        </w:rPr>
        <w:t>States Without the Death Penalty Fared Better Over Past Decade</w:t>
      </w:r>
      <w:r w:rsidRPr="004A1987">
        <w:rPr>
          <w:rFonts w:ascii="Helvetica" w:eastAsia="Times New Roman" w:hAnsi="Helvetica" w:cs="Helvetica"/>
          <w:color w:val="000000"/>
        </w:rPr>
        <w:t xml:space="preserve"> - </w:t>
      </w:r>
      <w:r w:rsidRPr="00DE5BC6">
        <w:rPr>
          <w:rFonts w:ascii="Helvetica" w:eastAsia="Times New Roman" w:hAnsi="Helvetica" w:cs="Helvetica"/>
          <w:color w:val="000000"/>
          <w:highlight w:val="yellow"/>
        </w:rPr>
        <w:t>In the past ten years, the number of executions in the U.S. has increased while the murder rate has declined.</w:t>
      </w:r>
      <w:r w:rsidRPr="004A1987">
        <w:rPr>
          <w:rFonts w:ascii="Helvetica" w:eastAsia="Times New Roman" w:hAnsi="Helvetica" w:cs="Helvetica"/>
          <w:color w:val="000000"/>
        </w:rPr>
        <w:t xml:space="preserve"> </w:t>
      </w:r>
      <w:r w:rsidRPr="00DE5BC6">
        <w:rPr>
          <w:rFonts w:ascii="Helvetica" w:eastAsia="Times New Roman" w:hAnsi="Helvetica" w:cs="Helvetica"/>
          <w:color w:val="FFFFFF" w:themeColor="background1"/>
          <w:highlight w:val="black"/>
        </w:rPr>
        <w:t>Some commentators have maintained that the murder rate has dropped because of the increase in executions</w:t>
      </w:r>
      <w:r w:rsidRPr="004A1987">
        <w:rPr>
          <w:rFonts w:ascii="Helvetica" w:eastAsia="Times New Roman" w:hAnsi="Helvetica" w:cs="Helvetica"/>
          <w:color w:val="000000"/>
        </w:rPr>
        <w:t xml:space="preserve"> (see, e.g., W. Tucker, "Yes, the Death Penalty Deters," Wall St. Journal, June 21, 2002). However, during this decade the murder rate in non-death penalty states has remained consistently lower than the rate in states with the death penalty.</w:t>
      </w:r>
      <w:r w:rsidRPr="004A1987">
        <w:rPr>
          <w:rFonts w:ascii="Helvetica" w:eastAsia="Times New Roman" w:hAnsi="Helvetica" w:cs="Helvetica"/>
          <w:b/>
          <w:bCs/>
          <w:color w:val="000000"/>
        </w:rPr>
        <w:t xml:space="preserve"> </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Pr>
          <w:rFonts w:ascii="Helvetica" w:eastAsia="Times New Roman" w:hAnsi="Helvetica" w:cs="Helvetica"/>
          <w:noProof/>
          <w:color w:val="000000"/>
        </w:rPr>
        <w:lastRenderedPageBreak/>
        <w:drawing>
          <wp:anchor distT="28575" distB="28575" distL="0" distR="0" simplePos="0" relativeHeight="251657728" behindDoc="0" locked="0" layoutInCell="1" allowOverlap="0">
            <wp:simplePos x="0" y="0"/>
            <wp:positionH relativeFrom="column">
              <wp:align>left</wp:align>
            </wp:positionH>
            <wp:positionV relativeFrom="line">
              <wp:posOffset>0</wp:posOffset>
            </wp:positionV>
            <wp:extent cx="3810000" cy="2371725"/>
            <wp:effectExtent l="19050" t="0" r="0" b="0"/>
            <wp:wrapSquare wrapText="bothSides"/>
            <wp:docPr id="3" name="Picture 3" descr="http://m.deathpenaltyinfo.org/files/neighboringsta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deathpenaltyinfo.org/files/neighboringstates.jpg"/>
                    <pic:cNvPicPr>
                      <a:picLocks noChangeAspect="1" noChangeArrowheads="1"/>
                    </pic:cNvPicPr>
                  </pic:nvPicPr>
                  <pic:blipFill>
                    <a:blip r:embed="rId27" cstate="print"/>
                    <a:srcRect/>
                    <a:stretch>
                      <a:fillRect/>
                    </a:stretch>
                  </pic:blipFill>
                  <pic:spPr bwMode="auto">
                    <a:xfrm>
                      <a:off x="0" y="0"/>
                      <a:ext cx="3810000" cy="2371725"/>
                    </a:xfrm>
                    <a:prstGeom prst="rect">
                      <a:avLst/>
                    </a:prstGeom>
                    <a:noFill/>
                    <a:ln w="9525">
                      <a:noFill/>
                      <a:miter lim="800000"/>
                      <a:headEnd/>
                      <a:tailEnd/>
                    </a:ln>
                  </pic:spPr>
                </pic:pic>
              </a:graphicData>
            </a:graphic>
          </wp:anchor>
        </w:drawing>
      </w:r>
      <w:r w:rsidRPr="004A1987">
        <w:rPr>
          <w:rFonts w:ascii="Helvetica" w:eastAsia="Times New Roman" w:hAnsi="Helvetica" w:cs="Helvetica"/>
          <w:color w:val="000000"/>
        </w:rPr>
        <w:t>When comparisons are made between states with the death penalty and states without, the majority of death penalty states show murder rates higher than non-death penalty states. The average of murder rates per 100,000 population in 1999 among death penalty states was 5.5, whereas the average of murder rates among non-death penalty states was only 3.6.</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color w:val="000000"/>
        </w:rPr>
        <w:t> </w:t>
      </w:r>
    </w:p>
    <w:p w:rsidR="004A1987" w:rsidRPr="004A1987" w:rsidRDefault="004A1987" w:rsidP="004A1987">
      <w:pPr>
        <w:shd w:val="clear" w:color="auto" w:fill="FFFFFF"/>
        <w:spacing w:before="240" w:after="240" w:line="240" w:lineRule="auto"/>
        <w:ind w:left="600"/>
        <w:rPr>
          <w:rFonts w:ascii="Helvetica" w:eastAsia="Times New Roman" w:hAnsi="Helvetica" w:cs="Helvetica"/>
          <w:color w:val="000000"/>
        </w:rPr>
      </w:pPr>
      <w:r w:rsidRPr="004A1987">
        <w:rPr>
          <w:rFonts w:ascii="Helvetica" w:eastAsia="Times New Roman" w:hAnsi="Helvetica" w:cs="Helvetica"/>
          <w:color w:val="000000"/>
        </w:rPr>
        <w:t>A look at neighboring death penalty and non-death penalty states show similar trends. Death penalty states usually have a higher murder rate than their neighboring non-death penalty states.</w:t>
      </w:r>
    </w:p>
    <w:p w:rsidR="004A1987" w:rsidRPr="004A1987" w:rsidRDefault="004A1987" w:rsidP="004A1987">
      <w:pPr>
        <w:shd w:val="clear" w:color="auto" w:fill="FFFFFF"/>
        <w:spacing w:before="240" w:after="240" w:line="240" w:lineRule="auto"/>
        <w:rPr>
          <w:rFonts w:ascii="Helvetica" w:eastAsia="Times New Roman" w:hAnsi="Helvetica" w:cs="Helvetica"/>
          <w:color w:val="000000"/>
        </w:rPr>
      </w:pPr>
    </w:p>
    <w:p w:rsidR="004A1987" w:rsidRPr="004A1987" w:rsidRDefault="003A40CC" w:rsidP="004A1987">
      <w:pPr>
        <w:shd w:val="clear" w:color="auto" w:fill="FFFFFF"/>
        <w:spacing w:line="240" w:lineRule="auto"/>
        <w:rPr>
          <w:rFonts w:ascii="Helvetica" w:eastAsia="Times New Roman" w:hAnsi="Helvetica" w:cs="Helvetica"/>
          <w:color w:val="000000"/>
        </w:rPr>
      </w:pPr>
      <w:r w:rsidRPr="003A40CC">
        <w:rPr>
          <w:rFonts w:ascii="Helvetica" w:eastAsia="Times New Roman" w:hAnsi="Helvetica" w:cs="Helvetica"/>
          <w:color w:val="000000"/>
        </w:rPr>
        <w:pict>
          <v:rect id="_x0000_i1030" style="width:0;height:.75pt" o:hralign="center" o:hrstd="t" o:hrnoshade="t" o:hr="t" fillcolor="#a0a0a0" stroked="f"/>
        </w:pict>
      </w:r>
    </w:p>
    <w:p w:rsidR="004B6F80" w:rsidRDefault="004B6F80"/>
    <w:sectPr w:rsidR="004B6F80" w:rsidSect="004A1987">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4A1987"/>
    <w:rsid w:val="003A40CC"/>
    <w:rsid w:val="004A1987"/>
    <w:rsid w:val="004B6F80"/>
    <w:rsid w:val="00507ED1"/>
    <w:rsid w:val="00860B86"/>
    <w:rsid w:val="00DE5B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fillcolor="none [3212]"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F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A1987"/>
    <w:rPr>
      <w:color w:val="0404B9"/>
      <w:u w:val="single"/>
    </w:rPr>
  </w:style>
  <w:style w:type="character" w:styleId="Strong">
    <w:name w:val="Strong"/>
    <w:basedOn w:val="DefaultParagraphFont"/>
    <w:uiPriority w:val="22"/>
    <w:qFormat/>
    <w:rsid w:val="004A1987"/>
    <w:rPr>
      <w:b/>
      <w:bCs/>
    </w:rPr>
  </w:style>
  <w:style w:type="paragraph" w:styleId="NormalWeb">
    <w:name w:val="Normal (Web)"/>
    <w:basedOn w:val="Normal"/>
    <w:uiPriority w:val="99"/>
    <w:semiHidden/>
    <w:unhideWhenUsed/>
    <w:rsid w:val="004A1987"/>
    <w:pPr>
      <w:spacing w:before="240" w:after="240" w:line="240" w:lineRule="auto"/>
    </w:pPr>
    <w:rPr>
      <w:rFonts w:ascii="Times New Roman" w:eastAsia="Times New Roman" w:hAnsi="Times New Roman" w:cs="Times New Roman"/>
      <w:sz w:val="24"/>
      <w:szCs w:val="24"/>
    </w:rPr>
  </w:style>
  <w:style w:type="paragraph" w:customStyle="1" w:styleId="rteindent1">
    <w:name w:val="rteindent1"/>
    <w:basedOn w:val="Normal"/>
    <w:rsid w:val="004A1987"/>
    <w:pPr>
      <w:spacing w:before="240" w:after="240" w:line="240" w:lineRule="auto"/>
      <w:ind w:left="600"/>
    </w:pPr>
    <w:rPr>
      <w:rFonts w:ascii="Times New Roman" w:eastAsia="Times New Roman" w:hAnsi="Times New Roman" w:cs="Times New Roman"/>
      <w:sz w:val="24"/>
      <w:szCs w:val="24"/>
    </w:rPr>
  </w:style>
  <w:style w:type="paragraph" w:customStyle="1" w:styleId="content">
    <w:name w:val="content"/>
    <w:basedOn w:val="Normal"/>
    <w:rsid w:val="004A1987"/>
    <w:pPr>
      <w:spacing w:before="240" w:after="240"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1987"/>
    <w:rPr>
      <w:i/>
      <w:iCs/>
    </w:rPr>
  </w:style>
  <w:style w:type="paragraph" w:styleId="BalloonText">
    <w:name w:val="Balloon Text"/>
    <w:basedOn w:val="Normal"/>
    <w:link w:val="BalloonTextChar"/>
    <w:uiPriority w:val="99"/>
    <w:semiHidden/>
    <w:unhideWhenUsed/>
    <w:rsid w:val="004A19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98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002772">
      <w:bodyDiv w:val="1"/>
      <w:marLeft w:val="0"/>
      <w:marRight w:val="0"/>
      <w:marTop w:val="0"/>
      <w:marBottom w:val="0"/>
      <w:divBdr>
        <w:top w:val="none" w:sz="0" w:space="0" w:color="auto"/>
        <w:left w:val="none" w:sz="0" w:space="0" w:color="auto"/>
        <w:bottom w:val="none" w:sz="0" w:space="0" w:color="auto"/>
        <w:right w:val="none" w:sz="0" w:space="0" w:color="auto"/>
      </w:divBdr>
      <w:divsChild>
        <w:div w:id="1300572246">
          <w:marLeft w:val="0"/>
          <w:marRight w:val="0"/>
          <w:marTop w:val="0"/>
          <w:marBottom w:val="0"/>
          <w:divBdr>
            <w:top w:val="none" w:sz="0" w:space="0" w:color="auto"/>
            <w:left w:val="none" w:sz="0" w:space="0" w:color="auto"/>
            <w:bottom w:val="none" w:sz="0" w:space="0" w:color="auto"/>
            <w:right w:val="none" w:sz="0" w:space="0" w:color="auto"/>
          </w:divBdr>
          <w:divsChild>
            <w:div w:id="843056280">
              <w:marLeft w:val="0"/>
              <w:marRight w:val="0"/>
              <w:marTop w:val="0"/>
              <w:marBottom w:val="0"/>
              <w:divBdr>
                <w:top w:val="none" w:sz="0" w:space="0" w:color="auto"/>
                <w:left w:val="none" w:sz="0" w:space="0" w:color="auto"/>
                <w:bottom w:val="none" w:sz="0" w:space="0" w:color="auto"/>
                <w:right w:val="none" w:sz="0" w:space="0" w:color="auto"/>
              </w:divBdr>
              <w:divsChild>
                <w:div w:id="352266174">
                  <w:marLeft w:val="0"/>
                  <w:marRight w:val="0"/>
                  <w:marTop w:val="0"/>
                  <w:marBottom w:val="0"/>
                  <w:divBdr>
                    <w:top w:val="none" w:sz="0" w:space="0" w:color="auto"/>
                    <w:left w:val="none" w:sz="0" w:space="0" w:color="auto"/>
                    <w:bottom w:val="none" w:sz="0" w:space="0" w:color="auto"/>
                    <w:right w:val="none" w:sz="0" w:space="0" w:color="auto"/>
                  </w:divBdr>
                </w:div>
                <w:div w:id="2036539736">
                  <w:marLeft w:val="0"/>
                  <w:marRight w:val="0"/>
                  <w:marTop w:val="0"/>
                  <w:marBottom w:val="0"/>
                  <w:divBdr>
                    <w:top w:val="none" w:sz="0" w:space="0" w:color="auto"/>
                    <w:left w:val="none" w:sz="0" w:space="0" w:color="auto"/>
                    <w:bottom w:val="none" w:sz="0" w:space="0" w:color="auto"/>
                    <w:right w:val="none" w:sz="0" w:space="0" w:color="auto"/>
                  </w:divBdr>
                  <w:divsChild>
                    <w:div w:id="1079400757">
                      <w:marLeft w:val="0"/>
                      <w:marRight w:val="0"/>
                      <w:marTop w:val="360"/>
                      <w:marBottom w:val="240"/>
                      <w:divBdr>
                        <w:top w:val="none" w:sz="0" w:space="0" w:color="auto"/>
                        <w:left w:val="none" w:sz="0" w:space="0" w:color="auto"/>
                        <w:bottom w:val="none" w:sz="0" w:space="0" w:color="auto"/>
                        <w:right w:val="none" w:sz="0" w:space="0" w:color="auto"/>
                      </w:divBdr>
                      <w:divsChild>
                        <w:div w:id="108811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athpenaltyinfo.org/documents/coop1994.pdf" TargetMode="External"/><Relationship Id="rId13" Type="http://schemas.openxmlformats.org/officeDocument/2006/relationships/hyperlink" Target="http://www.deathpenaltyinfo.org/documents/coop1999.pdf" TargetMode="External"/><Relationship Id="rId18" Type="http://schemas.openxmlformats.org/officeDocument/2006/relationships/hyperlink" Target="http://www.deathpenaltyinfo.org/documents/coop2004.pdf" TargetMode="External"/><Relationship Id="rId26" Type="http://schemas.openxmlformats.org/officeDocument/2006/relationships/image" Target="media/image3.jpeg"/><Relationship Id="rId3" Type="http://schemas.openxmlformats.org/officeDocument/2006/relationships/webSettings" Target="webSettings.xml"/><Relationship Id="rId21" Type="http://schemas.openxmlformats.org/officeDocument/2006/relationships/hyperlink" Target="http://www.deathpenaltyinfo.org/documents/coop2007.pdf" TargetMode="External"/><Relationship Id="rId7" Type="http://schemas.openxmlformats.org/officeDocument/2006/relationships/hyperlink" Target="http://www.deathpenaltyinfo.org/documents/coop1993.pdf" TargetMode="External"/><Relationship Id="rId12" Type="http://schemas.openxmlformats.org/officeDocument/2006/relationships/hyperlink" Target="http://www.deathpenaltyinfo.org/documents/coop1998.pdf" TargetMode="External"/><Relationship Id="rId17" Type="http://schemas.openxmlformats.org/officeDocument/2006/relationships/hyperlink" Target="http://www.deathpenaltyinfo.org/documents/coop2003.pdf" TargetMode="External"/><Relationship Id="rId25" Type="http://schemas.openxmlformats.org/officeDocument/2006/relationships/hyperlink" Target="http://m.deathpenaltyinfo.org/article.php?scid=12&amp;did=169" TargetMode="External"/><Relationship Id="rId2" Type="http://schemas.openxmlformats.org/officeDocument/2006/relationships/settings" Target="settings.xml"/><Relationship Id="rId16" Type="http://schemas.openxmlformats.org/officeDocument/2006/relationships/hyperlink" Target="http://www.deathpenaltyinfo.org/documents/coop2002.pdf" TargetMode="External"/><Relationship Id="rId20" Type="http://schemas.openxmlformats.org/officeDocument/2006/relationships/hyperlink" Target="http://www.deathpenaltyinfo.org/documents/coop2006.pdf"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deathpenaltyinfo.org/documents/coop1992.pdf" TargetMode="External"/><Relationship Id="rId11" Type="http://schemas.openxmlformats.org/officeDocument/2006/relationships/hyperlink" Target="http://www.deathpenaltyinfo.org/documents/coop1997.pdf" TargetMode="External"/><Relationship Id="rId24" Type="http://schemas.openxmlformats.org/officeDocument/2006/relationships/image" Target="media/image2.jpeg"/><Relationship Id="rId5" Type="http://schemas.openxmlformats.org/officeDocument/2006/relationships/hyperlink" Target="http://www.deathpenaltyinfo.org/documents/coop1991.pdf" TargetMode="External"/><Relationship Id="rId15" Type="http://schemas.openxmlformats.org/officeDocument/2006/relationships/hyperlink" Target="http://www.deathpenaltyinfo.org/documents/coop2001.pdf" TargetMode="External"/><Relationship Id="rId23" Type="http://schemas.openxmlformats.org/officeDocument/2006/relationships/image" Target="media/image1.jpeg"/><Relationship Id="rId28" Type="http://schemas.openxmlformats.org/officeDocument/2006/relationships/fontTable" Target="fontTable.xml"/><Relationship Id="rId10" Type="http://schemas.openxmlformats.org/officeDocument/2006/relationships/hyperlink" Target="http://www.deathpenaltyinfo.org/documents/coop1996.pdf" TargetMode="External"/><Relationship Id="rId19" Type="http://schemas.openxmlformats.org/officeDocument/2006/relationships/hyperlink" Target="http://www.deathpenaltyinfo.org/documents/coop2005.pdf" TargetMode="External"/><Relationship Id="rId4" Type="http://schemas.openxmlformats.org/officeDocument/2006/relationships/hyperlink" Target="http://www.deathpenaltyinfo.org/documents/coop1990.pdf" TargetMode="External"/><Relationship Id="rId9" Type="http://schemas.openxmlformats.org/officeDocument/2006/relationships/hyperlink" Target="http://www.deathpenaltyinfo.org/documents/coop1995.pdf" TargetMode="External"/><Relationship Id="rId14" Type="http://schemas.openxmlformats.org/officeDocument/2006/relationships/hyperlink" Target="http://www.deathpenaltyinfo.org/documents/coop2000.pdf" TargetMode="External"/><Relationship Id="rId22" Type="http://schemas.openxmlformats.org/officeDocument/2006/relationships/hyperlink" Target="http://www.deathpenaltyinfo.org/documents/mr2010.pdf" TargetMode="External"/><Relationship Id="rId27"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923</Words>
  <Characters>5263</Characters>
  <Application>Microsoft Office Word</Application>
  <DocSecurity>4</DocSecurity>
  <Lines>43</Lines>
  <Paragraphs>12</Paragraphs>
  <ScaleCrop>false</ScaleCrop>
  <Company/>
  <LinksUpToDate>false</LinksUpToDate>
  <CharactersWithSpaces>6174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Shelgren</dc:creator>
  <cp:lastModifiedBy>Administrator</cp:lastModifiedBy>
  <cp:revision>2</cp:revision>
  <dcterms:created xsi:type="dcterms:W3CDTF">2012-01-17T17:04:00Z</dcterms:created>
  <dcterms:modified xsi:type="dcterms:W3CDTF">2012-01-17T17:04:00Z</dcterms:modified>
</cp:coreProperties>
</file>